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ind w:firstLine="420"/>
        <w:jc w:val="center"/>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上海市松江区退役军人事务局</w:t>
      </w:r>
    </w:p>
    <w:p>
      <w:pPr>
        <w:pStyle w:val="4"/>
        <w:widowControl/>
        <w:shd w:val="clear" w:color="auto" w:fill="FFFFFF"/>
        <w:spacing w:before="0" w:beforeAutospacing="0" w:after="0" w:afterAutospacing="0" w:line="560" w:lineRule="exact"/>
        <w:ind w:firstLine="420"/>
        <w:jc w:val="center"/>
        <w:rPr>
          <w:rFonts w:ascii="黑体" w:hAnsi="黑体" w:eastAsia="黑体" w:cs="方正小标宋简体"/>
          <w:bCs/>
          <w:color w:val="000000"/>
          <w:sz w:val="32"/>
          <w:szCs w:val="32"/>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2020年政府信息公开工作年度报告</w:t>
      </w:r>
    </w:p>
    <w:p>
      <w:pPr>
        <w:pStyle w:val="4"/>
        <w:widowControl/>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rPr>
      </w:pPr>
      <w:r>
        <w:rPr>
          <w:rFonts w:hint="eastAsia" w:ascii="黑体" w:hAnsi="黑体" w:eastAsia="黑体" w:cs="宋体"/>
          <w:color w:val="000000"/>
          <w:sz w:val="32"/>
          <w:szCs w:val="32"/>
          <w:shd w:val="clear" w:color="auto" w:fill="FFFFFF"/>
        </w:rPr>
        <w:t>一、总体情况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2020年，松江区退役军人事务局政务公开工作以《中华人民共和国政府信息公开条例》（以下简称《条例》）和《上海市政府信息公开规定》为遵循，聚焦社会公众对退役军人事务工作的需求，积极回应社会关切，全面推进政府信息公开各项工作，有效地保障了公民知情权、参与权和监督权。</w:t>
      </w:r>
    </w:p>
    <w:p>
      <w:pPr>
        <w:ind w:firstLine="640" w:firstLineChars="200"/>
        <w:rPr>
          <w:rFonts w:ascii="楷体" w:hAnsi="楷体" w:eastAsia="楷体" w:cs="楷体"/>
          <w:sz w:val="32"/>
          <w:szCs w:val="32"/>
        </w:rPr>
      </w:pPr>
      <w:r>
        <w:rPr>
          <w:rFonts w:hint="eastAsia" w:ascii="楷体" w:hAnsi="楷体" w:eastAsia="楷体" w:cs="楷体"/>
          <w:sz w:val="32"/>
          <w:szCs w:val="32"/>
        </w:rPr>
        <w:t>（一）主动公开政府信息情况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2020年，</w:t>
      </w:r>
      <w:r>
        <w:rPr>
          <w:rFonts w:hint="eastAsia" w:ascii="仿宋_GB2312" w:hAnsi="黑体" w:eastAsia="仿宋_GB2312"/>
          <w:sz w:val="32"/>
          <w:szCs w:val="32"/>
        </w:rPr>
        <w:t>松江区退役军人事务局</w:t>
      </w:r>
      <w:r>
        <w:rPr>
          <w:rFonts w:hint="eastAsia" w:ascii="仿宋_GB2312" w:hAnsi="黑体" w:eastAsia="仿宋_GB2312"/>
          <w:sz w:val="32"/>
          <w:szCs w:val="32"/>
          <w:lang w:val="en-US" w:eastAsia="zh-CN"/>
        </w:rPr>
        <w:t>主动</w:t>
      </w:r>
      <w:r>
        <w:rPr>
          <w:rFonts w:hint="eastAsia" w:ascii="仿宋_GB2312" w:hAnsi="黑体" w:eastAsia="仿宋_GB2312"/>
          <w:sz w:val="32"/>
          <w:szCs w:val="32"/>
        </w:rPr>
        <w:t>公开</w:t>
      </w:r>
      <w:bookmarkStart w:id="0" w:name="_GoBack"/>
      <w:bookmarkEnd w:id="0"/>
      <w:r>
        <w:rPr>
          <w:rFonts w:hint="eastAsia" w:ascii="仿宋_GB2312" w:hAnsi="黑体" w:eastAsia="仿宋_GB2312"/>
          <w:sz w:val="32"/>
          <w:szCs w:val="32"/>
        </w:rPr>
        <w:t>政府信息</w:t>
      </w:r>
      <w:r>
        <w:rPr>
          <w:rFonts w:hint="eastAsia" w:ascii="仿宋_GB2312" w:hAnsi="黑体" w:eastAsia="仿宋_GB2312"/>
          <w:sz w:val="32"/>
          <w:szCs w:val="32"/>
          <w:lang w:val="en-US" w:eastAsia="zh-CN"/>
        </w:rPr>
        <w:t>18</w:t>
      </w:r>
      <w:r>
        <w:rPr>
          <w:rFonts w:hint="eastAsia" w:ascii="仿宋_GB2312" w:hAnsi="黑体" w:eastAsia="仿宋_GB2312"/>
          <w:sz w:val="32"/>
          <w:szCs w:val="32"/>
        </w:rPr>
        <w:t>条。</w:t>
      </w:r>
      <w:r>
        <w:rPr>
          <w:rFonts w:hint="eastAsia" w:ascii="仿宋_GB2312" w:hAnsi="黑体" w:eastAsia="仿宋_GB2312"/>
          <w:sz w:val="32"/>
          <w:szCs w:val="32"/>
          <w:lang w:val="en-US" w:eastAsia="zh-CN"/>
        </w:rPr>
        <w:t>其中</w:t>
      </w:r>
      <w:r>
        <w:rPr>
          <w:rFonts w:hint="eastAsia" w:ascii="仿宋_GB2312" w:hAnsi="黑体" w:eastAsia="仿宋_GB2312"/>
          <w:sz w:val="32"/>
          <w:szCs w:val="32"/>
        </w:rPr>
        <w:t>行政法规、规章和规范性文件</w:t>
      </w:r>
      <w:r>
        <w:rPr>
          <w:rFonts w:hint="eastAsia" w:ascii="仿宋_GB2312" w:hAnsi="黑体" w:eastAsia="仿宋_GB2312"/>
          <w:sz w:val="32"/>
          <w:szCs w:val="32"/>
          <w:lang w:val="en-US" w:eastAsia="zh-CN"/>
        </w:rPr>
        <w:t>2条；</w:t>
      </w:r>
      <w:r>
        <w:rPr>
          <w:rFonts w:hint="eastAsia" w:ascii="仿宋_GB2312" w:hAnsi="黑体" w:eastAsia="仿宋_GB2312"/>
          <w:sz w:val="32"/>
          <w:szCs w:val="32"/>
        </w:rPr>
        <w:t>财政预算、决算信息</w:t>
      </w:r>
      <w:r>
        <w:rPr>
          <w:rFonts w:hint="eastAsia" w:ascii="仿宋_GB2312" w:hAnsi="黑体" w:eastAsia="仿宋_GB2312"/>
          <w:sz w:val="32"/>
          <w:szCs w:val="32"/>
          <w:lang w:val="en-US" w:eastAsia="zh-CN"/>
        </w:rPr>
        <w:t>1条；</w:t>
      </w:r>
      <w:r>
        <w:rPr>
          <w:rFonts w:hint="eastAsia" w:ascii="仿宋_GB2312" w:hAnsi="黑体" w:eastAsia="仿宋_GB2312"/>
          <w:sz w:val="32"/>
          <w:szCs w:val="32"/>
        </w:rPr>
        <w:t>法律、法规、规章和国家有关规定规定应当主动公开的其他政府信息</w:t>
      </w:r>
      <w:r>
        <w:rPr>
          <w:rFonts w:hint="eastAsia" w:ascii="仿宋_GB2312" w:hAnsi="黑体" w:eastAsia="仿宋_GB2312"/>
          <w:sz w:val="32"/>
          <w:szCs w:val="32"/>
          <w:lang w:val="en-US" w:eastAsia="zh-CN"/>
        </w:rPr>
        <w:t>15条。</w:t>
      </w:r>
    </w:p>
    <w:p>
      <w:pPr>
        <w:ind w:firstLine="640" w:firstLineChars="200"/>
        <w:rPr>
          <w:rFonts w:ascii="楷体" w:hAnsi="楷体" w:eastAsia="楷体" w:cs="楷体"/>
          <w:bCs/>
          <w:color w:val="333333"/>
          <w:sz w:val="32"/>
          <w:szCs w:val="32"/>
          <w:shd w:val="clear" w:color="auto" w:fill="FFFFFF"/>
        </w:rPr>
      </w:pPr>
      <w:r>
        <w:rPr>
          <w:rFonts w:hint="eastAsia" w:ascii="楷体" w:hAnsi="楷体" w:eastAsia="楷体" w:cs="楷体"/>
          <w:bCs/>
          <w:color w:val="333333"/>
          <w:sz w:val="32"/>
          <w:szCs w:val="32"/>
          <w:shd w:val="clear" w:color="auto" w:fill="FFFFFF"/>
        </w:rPr>
        <w:t>（二）</w:t>
      </w:r>
      <w:r>
        <w:rPr>
          <w:rFonts w:ascii="楷体" w:hAnsi="楷体" w:eastAsia="楷体" w:cs="楷体"/>
          <w:bCs/>
          <w:color w:val="333333"/>
          <w:sz w:val="32"/>
          <w:szCs w:val="32"/>
          <w:shd w:val="clear" w:color="auto" w:fill="FFFFFF"/>
        </w:rPr>
        <w:t>依申请公开政府信息情况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松江区退役军人事务局根据《条例》等有关规定，本着“公开为原则，不公开为例外”的工作方针，对收到的信息公开申请，快速作出处理和答复。2020年度共受理政府信息公开申请2件，办结政府信息公开申请2件，完成率100%。</w:t>
      </w:r>
    </w:p>
    <w:p>
      <w:pPr>
        <w:numPr>
          <w:ilvl w:val="0"/>
          <w:numId w:val="1"/>
        </w:numPr>
        <w:ind w:firstLine="640" w:firstLineChars="200"/>
        <w:rPr>
          <w:rFonts w:ascii="楷体" w:hAnsi="楷体" w:eastAsia="楷体" w:cs="楷体"/>
          <w:bCs/>
          <w:color w:val="333333"/>
          <w:sz w:val="32"/>
          <w:szCs w:val="32"/>
          <w:shd w:val="clear" w:color="auto" w:fill="FFFFFF"/>
        </w:rPr>
      </w:pPr>
      <w:r>
        <w:rPr>
          <w:rFonts w:hint="eastAsia" w:ascii="楷体" w:hAnsi="楷体" w:eastAsia="楷体" w:cs="楷体"/>
          <w:bCs/>
          <w:color w:val="333333"/>
          <w:sz w:val="32"/>
          <w:szCs w:val="32"/>
          <w:shd w:val="clear" w:color="auto" w:fill="FFFFFF"/>
        </w:rPr>
        <w:t>政府信息管理</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hint="eastAsia" w:ascii="仿宋_GB2312" w:eastAsia="仿宋_GB2312"/>
          <w:b/>
          <w:bCs/>
          <w:kern w:val="2"/>
          <w:sz w:val="32"/>
          <w:szCs w:val="32"/>
        </w:rPr>
        <w:t> 1.落实公文公开属性认定机制。</w:t>
      </w:r>
      <w:r>
        <w:rPr>
          <w:rFonts w:hint="eastAsia" w:ascii="仿宋_GB2312" w:hAnsi="黑体" w:eastAsia="仿宋_GB2312"/>
          <w:kern w:val="2"/>
          <w:sz w:val="32"/>
          <w:szCs w:val="32"/>
        </w:rPr>
        <w:t>根据《条例》和松江区关于政府公文公开属性源头认定工作的要求，在日常的公文运作中，形成了公文公开属性审核工作流程，由办公室对公开内容进行定期检查。对本单位不予公开的信息以及依申请公开信息进行全面自查，对应公开未公开的信息、可转为主动公开的信息及时主动公开。</w:t>
      </w:r>
    </w:p>
    <w:p>
      <w:pPr>
        <w:pStyle w:val="4"/>
        <w:widowControl/>
        <w:shd w:val="clear" w:color="auto" w:fill="FFFFFF"/>
        <w:spacing w:before="0" w:beforeAutospacing="0" w:after="0" w:afterAutospacing="0"/>
        <w:jc w:val="both"/>
        <w:rPr>
          <w:rFonts w:ascii="仿宋_GB2312" w:hAnsi="黑体" w:eastAsia="仿宋_GB2312"/>
          <w:kern w:val="2"/>
          <w:sz w:val="32"/>
          <w:szCs w:val="32"/>
        </w:rPr>
      </w:pPr>
      <w:r>
        <w:rPr>
          <w:rFonts w:hint="eastAsia" w:ascii="微软雅黑" w:hAnsi="微软雅黑" w:eastAsia="微软雅黑" w:cs="微软雅黑"/>
          <w:b/>
          <w:color w:val="333333"/>
          <w:sz w:val="32"/>
          <w:szCs w:val="32"/>
          <w:shd w:val="clear" w:color="auto" w:fill="FFFFFF"/>
        </w:rPr>
        <w:t xml:space="preserve">     </w:t>
      </w:r>
      <w:r>
        <w:rPr>
          <w:rFonts w:hint="eastAsia" w:ascii="仿宋_GB2312" w:eastAsia="仿宋_GB2312"/>
          <w:b/>
          <w:bCs/>
          <w:kern w:val="2"/>
          <w:sz w:val="32"/>
          <w:szCs w:val="32"/>
        </w:rPr>
        <w:t>2. 落实政府信息发布审查机制。</w:t>
      </w:r>
      <w:r>
        <w:rPr>
          <w:rFonts w:hint="eastAsia" w:ascii="仿宋_GB2312" w:hAnsi="黑体" w:eastAsia="仿宋_GB2312"/>
          <w:kern w:val="2"/>
          <w:sz w:val="32"/>
          <w:szCs w:val="32"/>
        </w:rPr>
        <w:t>由办公室负责局信息发布审核工作，指定专人负责，由负责政务公开工作的分管领导承担政府信息公开发布的复核工作，确保政府信息的真实、及时、准确、安全。未经审查的信息不得公开，公开的信息决不能涉密。</w:t>
      </w:r>
    </w:p>
    <w:p>
      <w:pPr>
        <w:ind w:firstLine="640" w:firstLineChars="200"/>
        <w:rPr>
          <w:rFonts w:ascii="楷体" w:hAnsi="楷体" w:eastAsia="楷体" w:cs="楷体"/>
          <w:bCs/>
          <w:color w:val="333333"/>
          <w:sz w:val="32"/>
          <w:szCs w:val="32"/>
          <w:shd w:val="clear" w:color="auto" w:fill="FFFFFF"/>
        </w:rPr>
      </w:pPr>
      <w:r>
        <w:rPr>
          <w:rFonts w:hint="eastAsia" w:ascii="楷体" w:hAnsi="楷体" w:eastAsia="楷体" w:cs="楷体"/>
          <w:bCs/>
          <w:color w:val="333333"/>
          <w:sz w:val="32"/>
          <w:szCs w:val="32"/>
          <w:shd w:val="clear" w:color="auto" w:fill="FFFFFF"/>
        </w:rPr>
        <w:t>（四）平台建设</w:t>
      </w:r>
    </w:p>
    <w:p>
      <w:pPr>
        <w:pStyle w:val="4"/>
        <w:widowControl/>
        <w:shd w:val="clear" w:color="auto" w:fill="FFFFFF"/>
        <w:spacing w:before="0" w:beforeAutospacing="0" w:after="0" w:afterAutospacing="0"/>
        <w:ind w:firstLine="643" w:firstLineChars="200"/>
        <w:rPr>
          <w:rFonts w:ascii="微软雅黑" w:hAnsi="微软雅黑" w:eastAsia="微软雅黑" w:cs="微软雅黑"/>
          <w:color w:val="333333"/>
          <w:sz w:val="21"/>
          <w:szCs w:val="21"/>
        </w:rPr>
      </w:pPr>
      <w:r>
        <w:rPr>
          <w:rFonts w:ascii="仿宋" w:hAnsi="仿宋" w:eastAsia="仿宋" w:cs="仿宋"/>
          <w:b/>
          <w:color w:val="333333"/>
          <w:sz w:val="32"/>
          <w:szCs w:val="32"/>
          <w:shd w:val="clear" w:color="auto" w:fill="FFFFFF"/>
        </w:rPr>
        <w:t>1.</w:t>
      </w:r>
      <w:r>
        <w:rPr>
          <w:rFonts w:hint="eastAsia" w:ascii="仿宋" w:hAnsi="仿宋" w:eastAsia="仿宋" w:cs="仿宋"/>
          <w:b/>
          <w:color w:val="333333"/>
          <w:sz w:val="32"/>
          <w:szCs w:val="32"/>
          <w:shd w:val="clear" w:color="auto" w:fill="FFFFFF"/>
        </w:rPr>
        <w:t>松江区门户网站。</w:t>
      </w:r>
      <w:r>
        <w:rPr>
          <w:rFonts w:hint="eastAsia" w:ascii="仿宋_GB2312" w:hAnsi="黑体" w:eastAsia="仿宋_GB2312"/>
          <w:kern w:val="2"/>
          <w:sz w:val="32"/>
          <w:szCs w:val="32"/>
        </w:rPr>
        <w:t>市民可以通过“上海松江”门户网站（</w:t>
      </w:r>
      <w:r>
        <w:fldChar w:fldCharType="begin"/>
      </w:r>
      <w:r>
        <w:instrText xml:space="preserve"> HYPERLINK "http://www.songjiang.gov.cn/" </w:instrText>
      </w:r>
      <w:r>
        <w:fldChar w:fldCharType="separate"/>
      </w:r>
      <w:r>
        <w:rPr>
          <w:rFonts w:hint="eastAsia" w:ascii="仿宋_GB2312" w:hAnsi="黑体" w:eastAsia="仿宋_GB2312"/>
          <w:kern w:val="2"/>
          <w:sz w:val="32"/>
          <w:szCs w:val="32"/>
        </w:rPr>
        <w:t>http://www.songjiang.gov.cn</w:t>
      </w:r>
      <w:r>
        <w:rPr>
          <w:rFonts w:hint="eastAsia" w:ascii="仿宋_GB2312" w:hAnsi="黑体" w:eastAsia="仿宋_GB2312"/>
          <w:kern w:val="2"/>
          <w:sz w:val="32"/>
          <w:szCs w:val="32"/>
        </w:rPr>
        <w:fldChar w:fldCharType="end"/>
      </w:r>
      <w:r>
        <w:rPr>
          <w:rFonts w:hint="eastAsia" w:ascii="仿宋_GB2312" w:hAnsi="黑体" w:eastAsia="仿宋_GB2312"/>
          <w:kern w:val="2"/>
          <w:sz w:val="32"/>
          <w:szCs w:val="32"/>
        </w:rPr>
        <w:t>）的“政务公开”专栏查询主动公开的政府信息。</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hint="eastAsia" w:ascii="仿宋" w:hAnsi="仿宋" w:eastAsia="仿宋" w:cs="仿宋"/>
          <w:b/>
          <w:color w:val="333333"/>
          <w:sz w:val="32"/>
          <w:szCs w:val="32"/>
          <w:shd w:val="clear" w:color="auto" w:fill="FFFFFF"/>
        </w:rPr>
        <w:t>2.政务新媒体。</w:t>
      </w:r>
      <w:r>
        <w:rPr>
          <w:rFonts w:hint="eastAsia" w:ascii="仿宋_GB2312" w:hAnsi="黑体" w:eastAsia="仿宋_GB2312"/>
          <w:kern w:val="2"/>
          <w:sz w:val="32"/>
          <w:szCs w:val="32"/>
        </w:rPr>
        <w:t>市民可以通过微信公众号“松江双拥”关注松江退役军人事务工作的各项动态，2020年共计发布信息136条。</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ascii="仿宋" w:hAnsi="仿宋" w:eastAsia="仿宋" w:cs="仿宋"/>
          <w:b/>
          <w:color w:val="333333"/>
          <w:sz w:val="32"/>
          <w:szCs w:val="32"/>
          <w:shd w:val="clear" w:color="auto" w:fill="FFFFFF"/>
        </w:rPr>
        <w:t>3.</w:t>
      </w:r>
      <w:r>
        <w:rPr>
          <w:rFonts w:hint="eastAsia" w:ascii="仿宋" w:hAnsi="仿宋" w:eastAsia="仿宋" w:cs="仿宋"/>
          <w:b/>
          <w:color w:val="333333"/>
          <w:sz w:val="32"/>
          <w:szCs w:val="32"/>
          <w:shd w:val="clear" w:color="auto" w:fill="FFFFFF"/>
        </w:rPr>
        <w:t>便民举措。</w:t>
      </w:r>
      <w:r>
        <w:rPr>
          <w:rFonts w:hint="eastAsia" w:ascii="仿宋_GB2312" w:hAnsi="黑体" w:eastAsia="仿宋_GB2312"/>
          <w:kern w:val="2"/>
          <w:sz w:val="32"/>
          <w:szCs w:val="32"/>
        </w:rPr>
        <w:t>配合区档案馆、图书馆纸质公文查询中心做好相关工作，方便市民查阅行政机关制发的纸质公文。</w:t>
      </w:r>
    </w:p>
    <w:p>
      <w:pPr>
        <w:numPr>
          <w:ilvl w:val="0"/>
          <w:numId w:val="2"/>
        </w:numPr>
        <w:ind w:firstLine="640" w:firstLineChars="200"/>
        <w:rPr>
          <w:rFonts w:ascii="楷体" w:hAnsi="楷体" w:eastAsia="楷体" w:cs="楷体"/>
          <w:bCs/>
          <w:color w:val="333333"/>
          <w:sz w:val="32"/>
          <w:szCs w:val="32"/>
          <w:shd w:val="clear" w:color="auto" w:fill="FFFFFF"/>
        </w:rPr>
      </w:pPr>
      <w:r>
        <w:rPr>
          <w:rFonts w:hint="eastAsia" w:ascii="楷体" w:hAnsi="楷体" w:eastAsia="楷体" w:cs="楷体"/>
          <w:bCs/>
          <w:color w:val="333333"/>
          <w:sz w:val="32"/>
          <w:szCs w:val="32"/>
          <w:shd w:val="clear" w:color="auto" w:fill="FFFFFF"/>
        </w:rPr>
        <w:t>监督保障</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ascii="仿宋" w:hAnsi="仿宋" w:eastAsia="仿宋" w:cs="仿宋"/>
          <w:b/>
          <w:color w:val="333333"/>
          <w:sz w:val="32"/>
          <w:szCs w:val="32"/>
          <w:shd w:val="clear" w:color="auto" w:fill="FFFFFF"/>
        </w:rPr>
        <w:t>1.</w:t>
      </w:r>
      <w:r>
        <w:rPr>
          <w:rFonts w:hint="eastAsia" w:ascii="仿宋" w:hAnsi="仿宋" w:eastAsia="仿宋" w:cs="仿宋"/>
          <w:b/>
          <w:color w:val="333333"/>
          <w:sz w:val="32"/>
          <w:szCs w:val="32"/>
          <w:shd w:val="clear" w:color="auto" w:fill="FFFFFF"/>
        </w:rPr>
        <w:t>政务公开培训情况。</w:t>
      </w:r>
      <w:r>
        <w:rPr>
          <w:rFonts w:hint="eastAsia" w:ascii="仿宋_GB2312" w:hAnsi="黑体" w:eastAsia="仿宋_GB2312"/>
          <w:kern w:val="2"/>
          <w:sz w:val="32"/>
          <w:szCs w:val="32"/>
        </w:rPr>
        <w:t>积极参加</w:t>
      </w:r>
      <w:r>
        <w:rPr>
          <w:rFonts w:hint="eastAsia" w:ascii="仿宋" w:hAnsi="仿宋" w:eastAsia="仿宋" w:cs="仿宋"/>
          <w:color w:val="000000"/>
          <w:kern w:val="2"/>
          <w:sz w:val="32"/>
          <w:szCs w:val="32"/>
          <w:shd w:val="clear" w:color="auto" w:fill="FFFFFF"/>
        </w:rPr>
        <w:t>区政府办举办的政务公开专题培训，培训后落实完善政务公开工作要求，</w:t>
      </w:r>
      <w:r>
        <w:rPr>
          <w:rFonts w:hint="eastAsia" w:ascii="仿宋_GB2312" w:hAnsi="黑体" w:eastAsia="仿宋_GB2312"/>
          <w:kern w:val="2"/>
          <w:sz w:val="32"/>
          <w:szCs w:val="32"/>
        </w:rPr>
        <w:t>提升政务公开水平。</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hint="eastAsia" w:ascii="仿宋" w:hAnsi="仿宋" w:eastAsia="仿宋" w:cs="仿宋"/>
          <w:b/>
          <w:color w:val="333333"/>
          <w:sz w:val="32"/>
          <w:szCs w:val="32"/>
          <w:shd w:val="clear" w:color="auto" w:fill="FFFFFF"/>
        </w:rPr>
        <w:t>2.考核、评议情况。</w:t>
      </w:r>
      <w:r>
        <w:rPr>
          <w:rFonts w:hint="eastAsia" w:ascii="仿宋_GB2312" w:hAnsi="黑体" w:eastAsia="仿宋_GB2312"/>
          <w:kern w:val="2"/>
          <w:sz w:val="32"/>
          <w:szCs w:val="32"/>
        </w:rPr>
        <w:t>将政务公开作为松江区退役军人事务局的一项重要工作来抓，接受区府办、第三方考核，及时纠正、完善考核中发现的不足。</w:t>
      </w:r>
    </w:p>
    <w:p>
      <w:pPr>
        <w:pStyle w:val="4"/>
        <w:widowControl/>
        <w:shd w:val="clear" w:color="auto" w:fill="FFFFFF"/>
        <w:spacing w:before="0" w:beforeAutospacing="0" w:after="0" w:afterAutospacing="0"/>
        <w:ind w:firstLine="643" w:firstLineChars="200"/>
        <w:rPr>
          <w:rFonts w:ascii="仿宋_GB2312" w:hAnsi="黑体" w:eastAsia="仿宋_GB2312"/>
          <w:kern w:val="2"/>
          <w:sz w:val="32"/>
          <w:szCs w:val="32"/>
        </w:rPr>
      </w:pPr>
      <w:r>
        <w:rPr>
          <w:rFonts w:hint="eastAsia" w:ascii="仿宋" w:hAnsi="仿宋" w:eastAsia="仿宋" w:cs="仿宋"/>
          <w:b/>
          <w:color w:val="333333"/>
          <w:sz w:val="32"/>
          <w:szCs w:val="32"/>
          <w:shd w:val="clear" w:color="auto" w:fill="FFFFFF"/>
        </w:rPr>
        <w:t>3.行政复议、行政诉讼情况。</w:t>
      </w:r>
      <w:r>
        <w:rPr>
          <w:rFonts w:hint="eastAsia" w:ascii="仿宋_GB2312" w:hAnsi="黑体" w:eastAsia="仿宋_GB2312"/>
          <w:kern w:val="2"/>
          <w:sz w:val="32"/>
          <w:szCs w:val="32"/>
        </w:rPr>
        <w:t>2020年度未发生针对本部门有关政府信息公开方面的行政复议案和行政诉讼。</w:t>
      </w:r>
    </w:p>
    <w:p>
      <w:pPr>
        <w:pStyle w:val="4"/>
        <w:widowControl/>
        <w:shd w:val="clear" w:color="auto" w:fill="FFFFFF"/>
        <w:spacing w:before="0" w:beforeAutospacing="0" w:after="0" w:afterAutospacing="0"/>
        <w:rPr>
          <w:rFonts w:ascii="黑体" w:hAnsi="黑体" w:eastAsia="黑体" w:cs="宋体"/>
          <w:color w:val="000000"/>
          <w:sz w:val="32"/>
          <w:szCs w:val="32"/>
          <w:shd w:val="clear" w:color="auto" w:fill="FFFFFF"/>
        </w:rPr>
      </w:pPr>
      <w:r>
        <w:rPr>
          <w:rFonts w:ascii="黑体" w:hAnsi="宋体" w:eastAsia="黑体" w:cs="黑体"/>
          <w:color w:val="333333"/>
          <w:sz w:val="32"/>
          <w:szCs w:val="32"/>
          <w:shd w:val="clear" w:color="auto" w:fill="FFFFFF"/>
        </w:rPr>
        <w:t> </w:t>
      </w:r>
      <w:r>
        <w:rPr>
          <w:rFonts w:hint="eastAsia" w:ascii="黑体" w:hAnsi="黑体" w:eastAsia="黑体" w:cs="宋体"/>
          <w:color w:val="000000"/>
          <w:sz w:val="32"/>
          <w:szCs w:val="32"/>
          <w:shd w:val="clear" w:color="auto" w:fill="FFFFFF"/>
        </w:rPr>
        <w:t>二、主动公开政府信息情况</w:t>
      </w:r>
    </w:p>
    <w:tbl>
      <w:tblPr>
        <w:tblStyle w:val="5"/>
        <w:tblpPr w:leftFromText="180" w:rightFromText="180" w:vertAnchor="text" w:horzAnchor="page" w:tblpXSpec="center" w:tblpY="169"/>
        <w:tblOverlap w:val="never"/>
        <w:tblW w:w="8140" w:type="dxa"/>
        <w:tblInd w:w="0" w:type="dxa"/>
        <w:shd w:val="clear" w:color="auto" w:fill="FFFFFF" w:themeFill="background1"/>
        <w:tblLayout w:type="fixed"/>
        <w:tblCellMar>
          <w:top w:w="0" w:type="dxa"/>
          <w:left w:w="0" w:type="dxa"/>
          <w:bottom w:w="0" w:type="dxa"/>
          <w:right w:w="0" w:type="dxa"/>
        </w:tblCellMar>
      </w:tblPr>
      <w:tblGrid>
        <w:gridCol w:w="2292"/>
        <w:gridCol w:w="2122"/>
        <w:gridCol w:w="1845"/>
        <w:gridCol w:w="1881"/>
      </w:tblGrid>
      <w:tr>
        <w:tblPrEx>
          <w:tblCellMar>
            <w:top w:w="0" w:type="dxa"/>
            <w:left w:w="0" w:type="dxa"/>
            <w:bottom w:w="0" w:type="dxa"/>
            <w:right w:w="0" w:type="dxa"/>
          </w:tblCellMar>
        </w:tblPrEx>
        <w:trPr>
          <w:trHeight w:val="510" w:hRule="exact"/>
        </w:trPr>
        <w:tc>
          <w:tcPr>
            <w:tcW w:w="8140" w:type="dxa"/>
            <w:gridSpan w:val="4"/>
            <w:tcBorders>
              <w:top w:val="single" w:color="auto" w:sz="8" w:space="0"/>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第二十条第（一）项</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信息内容</w:t>
            </w:r>
          </w:p>
        </w:tc>
        <w:tc>
          <w:tcPr>
            <w:tcW w:w="2122"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本年新</w:t>
            </w:r>
            <w:r>
              <w:rPr>
                <w:rFonts w:asciiTheme="minorEastAsia" w:hAnsiTheme="minorEastAsia" w:eastAsiaTheme="minorEastAsia"/>
                <w:color w:val="000000"/>
                <w:kern w:val="0"/>
                <w:sz w:val="20"/>
                <w:szCs w:val="20"/>
              </w:rPr>
              <w:t>制作数量</w:t>
            </w:r>
          </w:p>
        </w:tc>
        <w:tc>
          <w:tcPr>
            <w:tcW w:w="1845"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本年新</w:t>
            </w:r>
            <w:r>
              <w:rPr>
                <w:rFonts w:asciiTheme="minorEastAsia" w:hAnsiTheme="minorEastAsia" w:eastAsiaTheme="minorEastAsia"/>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对外公开总数量</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规章</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规范性文件</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blPrEx>
          <w:tblCellMar>
            <w:top w:w="0" w:type="dxa"/>
            <w:left w:w="0" w:type="dxa"/>
            <w:bottom w:w="0" w:type="dxa"/>
            <w:right w:w="0" w:type="dxa"/>
          </w:tblCellMar>
        </w:tblPrEx>
        <w:trPr>
          <w:trHeight w:val="510" w:hRule="exact"/>
        </w:trPr>
        <w:tc>
          <w:tcPr>
            <w:tcW w:w="8140" w:type="dxa"/>
            <w:gridSpan w:val="4"/>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第二十条第（五）项</w:t>
            </w:r>
          </w:p>
        </w:tc>
      </w:tr>
      <w:tr>
        <w:tblPrEx>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信息内容</w:t>
            </w:r>
          </w:p>
        </w:tc>
        <w:tc>
          <w:tcPr>
            <w:tcW w:w="2122"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上一年项目数量</w:t>
            </w:r>
          </w:p>
        </w:tc>
        <w:tc>
          <w:tcPr>
            <w:tcW w:w="1845"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处理决定数量</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行政许可</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blPrEx>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其他对外管理服务事项</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blPrEx>
          <w:tblCellMar>
            <w:top w:w="0" w:type="dxa"/>
            <w:left w:w="0" w:type="dxa"/>
            <w:bottom w:w="0" w:type="dxa"/>
            <w:right w:w="0" w:type="dxa"/>
          </w:tblCellMar>
        </w:tblPrEx>
        <w:trPr>
          <w:trHeight w:val="510" w:hRule="exact"/>
        </w:trPr>
        <w:tc>
          <w:tcPr>
            <w:tcW w:w="8140" w:type="dxa"/>
            <w:gridSpan w:val="4"/>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第二十条第（六）项</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信息内容</w:t>
            </w:r>
          </w:p>
        </w:tc>
        <w:tc>
          <w:tcPr>
            <w:tcW w:w="2122"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上一年项目数量</w:t>
            </w:r>
          </w:p>
        </w:tc>
        <w:tc>
          <w:tcPr>
            <w:tcW w:w="1845"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处理决定数量</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行政处罚</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行政强制</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4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188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blPrEx>
          <w:shd w:val="clear" w:color="auto" w:fill="FFFFFF" w:themeFill="background1"/>
          <w:tblCellMar>
            <w:top w:w="0" w:type="dxa"/>
            <w:left w:w="0" w:type="dxa"/>
            <w:bottom w:w="0" w:type="dxa"/>
            <w:right w:w="0" w:type="dxa"/>
          </w:tblCellMar>
        </w:tblPrEx>
        <w:trPr>
          <w:trHeight w:val="510" w:hRule="exact"/>
        </w:trPr>
        <w:tc>
          <w:tcPr>
            <w:tcW w:w="8140" w:type="dxa"/>
            <w:gridSpan w:val="4"/>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第二十条第（八）项</w:t>
            </w:r>
          </w:p>
        </w:tc>
      </w:tr>
      <w:tr>
        <w:tblPrEx>
          <w:shd w:val="clear" w:color="auto" w:fill="FFFFFF" w:themeFill="background1"/>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信息内容</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上一年项目数量</w:t>
            </w:r>
          </w:p>
        </w:tc>
        <w:tc>
          <w:tcPr>
            <w:tcW w:w="3726" w:type="dxa"/>
            <w:gridSpan w:val="2"/>
            <w:tcBorders>
              <w:top w:val="single" w:color="auto" w:sz="8" w:space="0"/>
              <w:left w:val="nil"/>
              <w:bottom w:val="single" w:color="auto" w:sz="8" w:space="0"/>
              <w:right w:val="single" w:color="000000"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本年增/减</w:t>
            </w:r>
          </w:p>
        </w:tc>
      </w:tr>
      <w:tr>
        <w:tblPrEx>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行政事业性收费</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3726" w:type="dxa"/>
            <w:gridSpan w:val="2"/>
            <w:tcBorders>
              <w:top w:val="nil"/>
              <w:left w:val="nil"/>
              <w:bottom w:val="single" w:color="auto" w:sz="8" w:space="0"/>
              <w:right w:val="single" w:color="000000"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r>
        <w:tblPrEx>
          <w:tblCellMar>
            <w:top w:w="0" w:type="dxa"/>
            <w:left w:w="0" w:type="dxa"/>
            <w:bottom w:w="0" w:type="dxa"/>
            <w:right w:w="0" w:type="dxa"/>
          </w:tblCellMar>
        </w:tblPrEx>
        <w:trPr>
          <w:trHeight w:val="510" w:hRule="exact"/>
        </w:trPr>
        <w:tc>
          <w:tcPr>
            <w:tcW w:w="8140" w:type="dxa"/>
            <w:gridSpan w:val="4"/>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第二十条第（九）项</w:t>
            </w:r>
          </w:p>
        </w:tc>
      </w:tr>
      <w:tr>
        <w:tblPrEx>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信息内容</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采购项目数量</w:t>
            </w:r>
          </w:p>
        </w:tc>
        <w:tc>
          <w:tcPr>
            <w:tcW w:w="3726" w:type="dxa"/>
            <w:gridSpan w:val="2"/>
            <w:tcBorders>
              <w:top w:val="single" w:color="auto" w:sz="8" w:space="0"/>
              <w:left w:val="nil"/>
              <w:bottom w:val="single" w:color="auto" w:sz="8" w:space="0"/>
              <w:right w:val="single" w:color="000000"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采购总金额</w:t>
            </w:r>
          </w:p>
        </w:tc>
      </w:tr>
      <w:tr>
        <w:tblPrEx>
          <w:tblCellMar>
            <w:top w:w="0" w:type="dxa"/>
            <w:left w:w="0" w:type="dxa"/>
            <w:bottom w:w="0" w:type="dxa"/>
            <w:right w:w="0" w:type="dxa"/>
          </w:tblCellMar>
        </w:tblPrEx>
        <w:trPr>
          <w:trHeight w:val="510" w:hRule="exact"/>
        </w:trPr>
        <w:tc>
          <w:tcPr>
            <w:tcW w:w="2292" w:type="dxa"/>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Theme="minorEastAsia" w:hAnsiTheme="minorEastAsia" w:eastAsiaTheme="minorEastAsia"/>
                <w:color w:val="000000"/>
                <w:sz w:val="33"/>
                <w:szCs w:val="33"/>
              </w:rPr>
            </w:pPr>
            <w:r>
              <w:rPr>
                <w:rFonts w:hint="eastAsia" w:cs="宋体" w:asciiTheme="minorEastAsia" w:hAnsiTheme="minorEastAsia" w:eastAsiaTheme="minorEastAsia"/>
                <w:color w:val="000000"/>
                <w:kern w:val="0"/>
                <w:sz w:val="20"/>
                <w:szCs w:val="20"/>
              </w:rPr>
              <w:t>政府集中采购</w:t>
            </w:r>
          </w:p>
        </w:tc>
        <w:tc>
          <w:tcPr>
            <w:tcW w:w="2122"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c>
          <w:tcPr>
            <w:tcW w:w="3726" w:type="dxa"/>
            <w:gridSpan w:val="2"/>
            <w:tcBorders>
              <w:top w:val="nil"/>
              <w:left w:val="nil"/>
              <w:bottom w:val="single" w:color="auto" w:sz="8" w:space="0"/>
              <w:right w:val="single" w:color="000000" w:sz="8" w:space="0"/>
            </w:tcBorders>
            <w:shd w:val="clear" w:color="auto" w:fill="FFFFFF" w:themeFill="background1"/>
            <w:noWrap/>
            <w:tcMar>
              <w:left w:w="108" w:type="dxa"/>
              <w:right w:w="108" w:type="dxa"/>
            </w:tcMar>
            <w:vAlign w:val="center"/>
          </w:tcPr>
          <w:p>
            <w:pPr>
              <w:widowControl/>
              <w:spacing w:line="300" w:lineRule="exact"/>
              <w:jc w:val="center"/>
              <w:rPr>
                <w:rFonts w:asciiTheme="minorEastAsia" w:hAnsiTheme="minorEastAsia" w:eastAsiaTheme="minorEastAsia"/>
                <w:color w:val="000000"/>
                <w:sz w:val="33"/>
                <w:szCs w:val="33"/>
              </w:rPr>
            </w:pPr>
            <w:r>
              <w:rPr>
                <w:rFonts w:hint="eastAsia" w:asciiTheme="minorEastAsia" w:hAnsiTheme="minorEastAsia" w:eastAsiaTheme="minorEastAsia"/>
                <w:color w:val="000000"/>
                <w:sz w:val="33"/>
                <w:szCs w:val="33"/>
              </w:rPr>
              <w:t>0</w:t>
            </w:r>
          </w:p>
        </w:tc>
      </w:tr>
    </w:tbl>
    <w:p>
      <w:pPr>
        <w:pStyle w:val="4"/>
        <w:widowControl/>
        <w:shd w:val="clear" w:color="auto" w:fill="FFFFFF"/>
        <w:spacing w:before="0" w:beforeAutospacing="0" w:after="0" w:afterAutospacing="0" w:line="560" w:lineRule="exact"/>
        <w:ind w:firstLine="420"/>
        <w:jc w:val="both"/>
        <w:rPr>
          <w:rFonts w:ascii="黑体" w:hAnsi="黑体" w:eastAsia="黑体" w:cs="宋体"/>
          <w:color w:val="000000"/>
          <w:sz w:val="32"/>
          <w:szCs w:val="32"/>
          <w:shd w:val="clear" w:color="auto" w:fill="FFFFFF"/>
        </w:rPr>
      </w:pPr>
      <w:r>
        <w:rPr>
          <w:rFonts w:hint="eastAsia" w:ascii="宋体" w:hAnsi="宋体" w:cs="宋体"/>
          <w:color w:val="000000"/>
          <w:sz w:val="33"/>
          <w:szCs w:val="33"/>
          <w:shd w:val="clear" w:color="auto" w:fill="FFFFFF"/>
        </w:rPr>
        <w:t> </w:t>
      </w:r>
    </w:p>
    <w:p>
      <w:pPr>
        <w:pStyle w:val="4"/>
        <w:widowControl/>
        <w:shd w:val="clear" w:color="auto" w:fill="FFFFFF"/>
        <w:spacing w:before="0" w:beforeAutospacing="0" w:after="0" w:afterAutospacing="0" w:line="300" w:lineRule="exact"/>
        <w:ind w:firstLine="640" w:firstLineChars="200"/>
        <w:jc w:val="both"/>
        <w:rPr>
          <w:rFonts w:ascii="黑体" w:hAnsi="黑体" w:eastAsia="黑体" w:cs="宋体"/>
          <w:color w:val="000000"/>
          <w:sz w:val="32"/>
          <w:szCs w:val="32"/>
          <w:shd w:val="clear" w:color="auto" w:fill="FFFFFF"/>
        </w:rPr>
      </w:pPr>
    </w:p>
    <w:p>
      <w:pPr>
        <w:pStyle w:val="4"/>
        <w:widowControl/>
        <w:shd w:val="clear" w:color="auto" w:fill="FFFFFF"/>
        <w:spacing w:before="0" w:beforeAutospacing="0" w:after="0" w:afterAutospacing="0" w:line="30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三、收到和处理政府信息公开申请情况 </w:t>
      </w:r>
    </w:p>
    <w:tbl>
      <w:tblPr>
        <w:tblStyle w:val="5"/>
        <w:tblpPr w:leftFromText="180" w:rightFromText="180" w:vertAnchor="text" w:horzAnchor="page" w:tblpX="1480" w:tblpY="362"/>
        <w:tblOverlap w:val="never"/>
        <w:tblW w:w="9247" w:type="dxa"/>
        <w:tblInd w:w="0" w:type="dxa"/>
        <w:shd w:val="clear" w:color="auto" w:fill="FFFFFF" w:themeFill="background1"/>
        <w:tblLayout w:type="fixed"/>
        <w:tblCellMar>
          <w:top w:w="0" w:type="dxa"/>
          <w:left w:w="0" w:type="dxa"/>
          <w:bottom w:w="0" w:type="dxa"/>
          <w:right w:w="0" w:type="dxa"/>
        </w:tblCellMar>
      </w:tblPr>
      <w:tblGrid>
        <w:gridCol w:w="534"/>
        <w:gridCol w:w="850"/>
        <w:gridCol w:w="2921"/>
        <w:gridCol w:w="474"/>
        <w:gridCol w:w="629"/>
        <w:gridCol w:w="694"/>
        <w:gridCol w:w="693"/>
        <w:gridCol w:w="1046"/>
        <w:gridCol w:w="711"/>
        <w:gridCol w:w="695"/>
      </w:tblGrid>
      <w:tr>
        <w:tblPrEx>
          <w:tblCellMar>
            <w:top w:w="0" w:type="dxa"/>
            <w:left w:w="0" w:type="dxa"/>
            <w:bottom w:w="0" w:type="dxa"/>
            <w:right w:w="0" w:type="dxa"/>
          </w:tblCellMar>
        </w:tblPrEx>
        <w:trPr>
          <w:trHeight w:val="443" w:hRule="exact"/>
        </w:trPr>
        <w:tc>
          <w:tcPr>
            <w:tcW w:w="4305" w:type="dxa"/>
            <w:gridSpan w:val="3"/>
            <w:vMerge w:val="restart"/>
            <w:tcBorders>
              <w:top w:val="single" w:color="auto" w:sz="8" w:space="0"/>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（本列数据的勾稽关系为：第一项加第二项之和，等于第三项加第四项之和）</w:t>
            </w:r>
          </w:p>
        </w:tc>
        <w:tc>
          <w:tcPr>
            <w:tcW w:w="4942" w:type="dxa"/>
            <w:gridSpan w:val="7"/>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申请人情况</w:t>
            </w:r>
          </w:p>
        </w:tc>
      </w:tr>
      <w:tr>
        <w:tblPrEx>
          <w:tblCellMar>
            <w:top w:w="0" w:type="dxa"/>
            <w:left w:w="0" w:type="dxa"/>
            <w:bottom w:w="0" w:type="dxa"/>
            <w:right w:w="0" w:type="dxa"/>
          </w:tblCellMar>
        </w:tblPrEx>
        <w:trPr>
          <w:trHeight w:val="421" w:hRule="exact"/>
        </w:trPr>
        <w:tc>
          <w:tcPr>
            <w:tcW w:w="4305"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560" w:lineRule="exact"/>
              <w:rPr>
                <w:rFonts w:ascii="宋体"/>
                <w:color w:val="000000"/>
                <w:sz w:val="33"/>
                <w:szCs w:val="33"/>
              </w:rPr>
            </w:pPr>
          </w:p>
        </w:tc>
        <w:tc>
          <w:tcPr>
            <w:tcW w:w="474" w:type="dxa"/>
            <w:vMerge w:val="restart"/>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自然人</w:t>
            </w:r>
          </w:p>
        </w:tc>
        <w:tc>
          <w:tcPr>
            <w:tcW w:w="3773" w:type="dxa"/>
            <w:gridSpan w:val="5"/>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560" w:lineRule="exact"/>
              <w:jc w:val="center"/>
              <w:rPr>
                <w:color w:val="000000"/>
                <w:sz w:val="33"/>
                <w:szCs w:val="33"/>
              </w:rPr>
            </w:pPr>
            <w:r>
              <w:rPr>
                <w:rFonts w:hint="eastAsia" w:ascii="宋体" w:hAnsi="宋体" w:cs="宋体"/>
                <w:color w:val="000000"/>
                <w:kern w:val="0"/>
                <w:sz w:val="20"/>
                <w:szCs w:val="20"/>
              </w:rPr>
              <w:t>总计</w:t>
            </w:r>
          </w:p>
        </w:tc>
      </w:tr>
      <w:tr>
        <w:tblPrEx>
          <w:shd w:val="clear" w:color="auto" w:fill="FFFFFF" w:themeFill="background1"/>
          <w:tblCellMar>
            <w:top w:w="0" w:type="dxa"/>
            <w:left w:w="0" w:type="dxa"/>
            <w:bottom w:w="0" w:type="dxa"/>
            <w:right w:w="0" w:type="dxa"/>
          </w:tblCellMar>
        </w:tblPrEx>
        <w:trPr>
          <w:trHeight w:val="982" w:hRule="exact"/>
        </w:trPr>
        <w:tc>
          <w:tcPr>
            <w:tcW w:w="4305"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560" w:lineRule="exact"/>
              <w:rPr>
                <w:rFonts w:ascii="宋体"/>
                <w:color w:val="000000"/>
                <w:sz w:val="33"/>
                <w:szCs w:val="33"/>
              </w:rPr>
            </w:pPr>
          </w:p>
        </w:tc>
        <w:tc>
          <w:tcPr>
            <w:tcW w:w="474"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560" w:lineRule="exact"/>
              <w:rPr>
                <w:rFonts w:ascii="宋体"/>
                <w:color w:val="000000"/>
                <w:sz w:val="33"/>
                <w:szCs w:val="33"/>
              </w:rPr>
            </w:pP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商业企业</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科研机构</w:t>
            </w:r>
          </w:p>
        </w:tc>
        <w:tc>
          <w:tcPr>
            <w:tcW w:w="693"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社会公益组织</w:t>
            </w:r>
          </w:p>
        </w:tc>
        <w:tc>
          <w:tcPr>
            <w:tcW w:w="1046"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法律服务机构</w:t>
            </w:r>
          </w:p>
        </w:tc>
        <w:tc>
          <w:tcPr>
            <w:tcW w:w="711"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color w:val="000000"/>
                <w:sz w:val="33"/>
                <w:szCs w:val="33"/>
              </w:rPr>
            </w:pPr>
            <w:r>
              <w:rPr>
                <w:rFonts w:hint="eastAsia" w:ascii="宋体" w:hAnsi="宋体" w:cs="宋体"/>
                <w:color w:val="000000"/>
                <w:kern w:val="0"/>
                <w:sz w:val="20"/>
                <w:szCs w:val="20"/>
              </w:rPr>
              <w:t>其他</w:t>
            </w:r>
          </w:p>
        </w:tc>
        <w:tc>
          <w:tcPr>
            <w:tcW w:w="695" w:type="dxa"/>
            <w:vMerge w:val="continue"/>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560" w:lineRule="exact"/>
              <w:rPr>
                <w:rFonts w:ascii="宋体"/>
                <w:color w:val="000000"/>
                <w:sz w:val="33"/>
                <w:szCs w:val="33"/>
              </w:rPr>
            </w:pPr>
          </w:p>
        </w:tc>
      </w:tr>
      <w:tr>
        <w:tblPrEx>
          <w:tblCellMar>
            <w:top w:w="0" w:type="dxa"/>
            <w:left w:w="0" w:type="dxa"/>
            <w:bottom w:w="0" w:type="dxa"/>
            <w:right w:w="0" w:type="dxa"/>
          </w:tblCellMar>
        </w:tblPrEx>
        <w:trPr>
          <w:trHeight w:val="441" w:hRule="exact"/>
        </w:trPr>
        <w:tc>
          <w:tcPr>
            <w:tcW w:w="4305" w:type="dxa"/>
            <w:gridSpan w:val="3"/>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宋体"/>
                <w:color w:val="000000"/>
                <w:kern w:val="0"/>
                <w:sz w:val="20"/>
                <w:szCs w:val="20"/>
              </w:rPr>
              <w:t>一、本年新收政府信息公开申请数量</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2</w:t>
            </w:r>
            <w:r>
              <w:rPr>
                <w:rFonts w:ascii="宋体" w:hAnsi="宋体" w:cs="Calibri"/>
                <w:color w:val="000000"/>
                <w:kern w:val="0"/>
                <w:sz w:val="20"/>
                <w:szCs w:val="20"/>
              </w:rPr>
              <w:t> </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2</w:t>
            </w:r>
          </w:p>
        </w:tc>
      </w:tr>
      <w:tr>
        <w:tblPrEx>
          <w:tblCellMar>
            <w:top w:w="0" w:type="dxa"/>
            <w:left w:w="0" w:type="dxa"/>
            <w:bottom w:w="0" w:type="dxa"/>
            <w:right w:w="0" w:type="dxa"/>
          </w:tblCellMar>
        </w:tblPrEx>
        <w:trPr>
          <w:trHeight w:val="418" w:hRule="exact"/>
        </w:trPr>
        <w:tc>
          <w:tcPr>
            <w:tcW w:w="4305" w:type="dxa"/>
            <w:gridSpan w:val="3"/>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宋体"/>
                <w:color w:val="000000"/>
                <w:kern w:val="0"/>
                <w:sz w:val="20"/>
                <w:szCs w:val="20"/>
              </w:rPr>
              <w:t>二、上年结转政府信息公开申请数量</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424" w:hRule="exact"/>
        </w:trPr>
        <w:tc>
          <w:tcPr>
            <w:tcW w:w="534" w:type="dxa"/>
            <w:vMerge w:val="restart"/>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三</w:t>
            </w:r>
          </w:p>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p>
            <w:pPr>
              <w:widowControl/>
              <w:spacing w:line="300" w:lineRule="exact"/>
              <w:jc w:val="center"/>
              <w:rPr>
                <w:rFonts w:ascii="宋体" w:hAnsi="宋体"/>
                <w:color w:val="000000"/>
                <w:sz w:val="33"/>
                <w:szCs w:val="33"/>
              </w:rPr>
            </w:pPr>
            <w:r>
              <w:rPr>
                <w:rFonts w:hint="eastAsia" w:ascii="宋体" w:hAnsi="宋体" w:cs="宋体"/>
                <w:color w:val="000000"/>
                <w:kern w:val="0"/>
                <w:sz w:val="20"/>
                <w:szCs w:val="20"/>
              </w:rPr>
              <w:t>本年度办理结果</w:t>
            </w:r>
          </w:p>
        </w:tc>
        <w:tc>
          <w:tcPr>
            <w:tcW w:w="3771" w:type="dxa"/>
            <w:gridSpan w:val="2"/>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（一）予以公开</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771"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3771" w:type="dxa"/>
            <w:gridSpan w:val="2"/>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（二）部分公开（区分处理的，只计这一情形，不计其他情形）</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restart"/>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（三）不予</w:t>
            </w:r>
          </w:p>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公开</w:t>
            </w: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1.属于国家秘密</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single" w:color="auto" w:sz="8"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606"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2.其他法律行政法规禁止公开</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3.危及“三安全一稳定”</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4.保护第三方合法权益</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5.属于三类内部事务信息</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6.属于四类过程性信息</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7.属于行政执法案卷</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8.属于行政查询事项</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restart"/>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（四）无法</w:t>
            </w:r>
          </w:p>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提供</w:t>
            </w: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1.本机关不掌握相关政府信息</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4"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2.没有现成信息需要另行制作</w:t>
            </w:r>
          </w:p>
        </w:tc>
        <w:tc>
          <w:tcPr>
            <w:tcW w:w="474"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1</w:t>
            </w:r>
          </w:p>
        </w:tc>
        <w:tc>
          <w:tcPr>
            <w:tcW w:w="629"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4"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1</w:t>
            </w:r>
          </w:p>
        </w:tc>
      </w:tr>
      <w:tr>
        <w:tblPrEx>
          <w:tblCellMar>
            <w:top w:w="0" w:type="dxa"/>
            <w:left w:w="0" w:type="dxa"/>
            <w:bottom w:w="0" w:type="dxa"/>
            <w:right w:w="0" w:type="dxa"/>
          </w:tblCellMar>
        </w:tblPrEx>
        <w:trPr>
          <w:trHeight w:val="510" w:hRule="exact"/>
        </w:trPr>
        <w:tc>
          <w:tcPr>
            <w:tcW w:w="534" w:type="dxa"/>
            <w:vMerge w:val="continue"/>
            <w:tcBorders>
              <w:top w:val="single" w:color="auto" w:sz="4" w:space="0"/>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3.补正后申请内容仍不明确</w:t>
            </w:r>
          </w:p>
        </w:tc>
        <w:tc>
          <w:tcPr>
            <w:tcW w:w="474"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single" w:color="auto" w:sz="4" w:space="0"/>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restart"/>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（五）不予</w:t>
            </w:r>
          </w:p>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处理</w:t>
            </w: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1.信访举报投诉类申请</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2.重复申请</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1</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1</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3.要求提供公开出版物</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4.无正当理由大量反复申请</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679"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850" w:type="dxa"/>
            <w:vMerge w:val="continue"/>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292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5.要求行政机关确认或重新出具已获取信息</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shd w:val="clear" w:color="auto" w:fill="FFFFFF" w:themeFill="background1"/>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3771" w:type="dxa"/>
            <w:gridSpan w:val="2"/>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（六）其他处理</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r>
        <w:tblPrEx>
          <w:tblCellMar>
            <w:top w:w="0" w:type="dxa"/>
            <w:left w:w="0" w:type="dxa"/>
            <w:bottom w:w="0" w:type="dxa"/>
            <w:right w:w="0" w:type="dxa"/>
          </w:tblCellMar>
        </w:tblPrEx>
        <w:trPr>
          <w:trHeight w:val="510" w:hRule="exact"/>
        </w:trPr>
        <w:tc>
          <w:tcPr>
            <w:tcW w:w="534" w:type="dxa"/>
            <w:vMerge w:val="continue"/>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spacing w:line="300" w:lineRule="exact"/>
              <w:rPr>
                <w:rFonts w:ascii="宋体" w:hAnsi="宋体"/>
                <w:color w:val="000000"/>
                <w:sz w:val="33"/>
                <w:szCs w:val="33"/>
              </w:rPr>
            </w:pPr>
          </w:p>
        </w:tc>
        <w:tc>
          <w:tcPr>
            <w:tcW w:w="3771" w:type="dxa"/>
            <w:gridSpan w:val="2"/>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楷体"/>
                <w:color w:val="000000"/>
                <w:kern w:val="0"/>
                <w:sz w:val="20"/>
                <w:szCs w:val="20"/>
              </w:rPr>
              <w:t>（七）总计</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2</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2</w:t>
            </w:r>
          </w:p>
        </w:tc>
      </w:tr>
      <w:tr>
        <w:tblPrEx>
          <w:tblCellMar>
            <w:top w:w="0" w:type="dxa"/>
            <w:left w:w="0" w:type="dxa"/>
            <w:bottom w:w="0" w:type="dxa"/>
            <w:right w:w="0" w:type="dxa"/>
          </w:tblCellMar>
        </w:tblPrEx>
        <w:trPr>
          <w:trHeight w:val="510" w:hRule="exact"/>
        </w:trPr>
        <w:tc>
          <w:tcPr>
            <w:tcW w:w="4305" w:type="dxa"/>
            <w:gridSpan w:val="3"/>
            <w:tcBorders>
              <w:top w:val="nil"/>
              <w:left w:val="single" w:color="auto" w:sz="8" w:space="0"/>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left"/>
              <w:rPr>
                <w:rFonts w:ascii="宋体" w:hAnsi="宋体"/>
                <w:color w:val="000000"/>
                <w:sz w:val="33"/>
                <w:szCs w:val="33"/>
              </w:rPr>
            </w:pPr>
            <w:r>
              <w:rPr>
                <w:rFonts w:hint="eastAsia" w:ascii="宋体" w:hAnsi="宋体" w:cs="宋体"/>
                <w:color w:val="000000"/>
                <w:kern w:val="0"/>
                <w:sz w:val="20"/>
                <w:szCs w:val="20"/>
              </w:rPr>
              <w:t>四、结转下年度继续办理</w:t>
            </w:r>
          </w:p>
        </w:tc>
        <w:tc>
          <w:tcPr>
            <w:tcW w:w="47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29"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4"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3"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1046"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711"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c>
          <w:tcPr>
            <w:tcW w:w="695" w:type="dxa"/>
            <w:tcBorders>
              <w:top w:val="nil"/>
              <w:left w:val="nil"/>
              <w:bottom w:val="single" w:color="auto" w:sz="8" w:space="0"/>
              <w:right w:val="single" w:color="auto" w:sz="8" w:space="0"/>
            </w:tcBorders>
            <w:shd w:val="clear" w:color="auto" w:fill="FFFFFF" w:themeFill="background1"/>
            <w:noWrap/>
            <w:tcMar>
              <w:left w:w="108" w:type="dxa"/>
              <w:right w:w="108" w:type="dxa"/>
            </w:tcMar>
            <w:vAlign w:val="center"/>
          </w:tcPr>
          <w:p>
            <w:pPr>
              <w:widowControl/>
              <w:spacing w:line="300" w:lineRule="exact"/>
              <w:jc w:val="center"/>
              <w:rPr>
                <w:rFonts w:ascii="宋体" w:hAnsi="宋体"/>
                <w:color w:val="000000"/>
                <w:sz w:val="33"/>
                <w:szCs w:val="33"/>
              </w:rPr>
            </w:pPr>
            <w:r>
              <w:rPr>
                <w:rFonts w:hint="eastAsia" w:ascii="宋体" w:hAnsi="宋体" w:cs="Calibri"/>
                <w:color w:val="000000"/>
                <w:kern w:val="0"/>
                <w:sz w:val="20"/>
                <w:szCs w:val="20"/>
              </w:rPr>
              <w:t>0</w:t>
            </w:r>
          </w:p>
        </w:tc>
      </w:tr>
    </w:tbl>
    <w:p>
      <w:pPr>
        <w:pStyle w:val="4"/>
        <w:widowControl/>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77" w:hRule="atLeast"/>
          <w:jc w:val="center"/>
        </w:trPr>
        <w:tc>
          <w:tcPr>
            <w:tcW w:w="3074" w:type="dxa"/>
            <w:gridSpan w:val="5"/>
            <w:shd w:val="clear" w:color="auto" w:fill="FFFFFF" w:themeFill="background1"/>
            <w:noWrap/>
            <w:tcMar>
              <w:left w:w="108" w:type="dxa"/>
              <w:right w:w="108" w:type="dxa"/>
            </w:tcMar>
            <w:vAlign w:val="center"/>
          </w:tcPr>
          <w:p>
            <w:pPr>
              <w:widowControl/>
              <w:spacing w:line="300" w:lineRule="exact"/>
              <w:jc w:val="center"/>
              <w:rPr>
                <w:rFonts w:ascii="宋体" w:hAnsi="宋体" w:cs="楷体"/>
                <w:color w:val="000000"/>
                <w:kern w:val="0"/>
                <w:sz w:val="20"/>
                <w:szCs w:val="20"/>
              </w:rPr>
            </w:pPr>
            <w:r>
              <w:rPr>
                <w:rFonts w:hint="eastAsia" w:ascii="宋体" w:hAnsi="宋体" w:cs="楷体"/>
                <w:color w:val="000000"/>
                <w:kern w:val="0"/>
                <w:sz w:val="20"/>
                <w:szCs w:val="20"/>
              </w:rPr>
              <w:t>行政复议</w:t>
            </w:r>
          </w:p>
        </w:tc>
        <w:tc>
          <w:tcPr>
            <w:tcW w:w="5997" w:type="dxa"/>
            <w:gridSpan w:val="10"/>
            <w:shd w:val="clear" w:color="auto" w:fill="FFFFFF" w:themeFill="background1"/>
            <w:noWrap/>
            <w:tcMar>
              <w:left w:w="108" w:type="dxa"/>
              <w:right w:w="108" w:type="dxa"/>
            </w:tcMar>
            <w:vAlign w:val="center"/>
          </w:tcPr>
          <w:p>
            <w:pPr>
              <w:widowControl/>
              <w:spacing w:line="300" w:lineRule="exact"/>
              <w:jc w:val="center"/>
              <w:rPr>
                <w:rFonts w:ascii="宋体" w:hAnsi="宋体" w:cs="楷体"/>
                <w:color w:val="000000"/>
                <w:kern w:val="0"/>
                <w:sz w:val="20"/>
                <w:szCs w:val="20"/>
              </w:rPr>
            </w:pPr>
            <w:r>
              <w:rPr>
                <w:rFonts w:hint="eastAsia" w:ascii="宋体" w:hAnsi="宋体" w:cs="楷体"/>
                <w:color w:val="000000"/>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43" w:hRule="atLeast"/>
          <w:jc w:val="center"/>
        </w:trPr>
        <w:tc>
          <w:tcPr>
            <w:tcW w:w="604" w:type="dxa"/>
            <w:vMerge w:val="restart"/>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结果维持</w:t>
            </w:r>
          </w:p>
        </w:tc>
        <w:tc>
          <w:tcPr>
            <w:tcW w:w="604" w:type="dxa"/>
            <w:vMerge w:val="restart"/>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结果纠正</w:t>
            </w:r>
          </w:p>
        </w:tc>
        <w:tc>
          <w:tcPr>
            <w:tcW w:w="604" w:type="dxa"/>
            <w:vMerge w:val="restart"/>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其他结果</w:t>
            </w:r>
          </w:p>
        </w:tc>
        <w:tc>
          <w:tcPr>
            <w:tcW w:w="604" w:type="dxa"/>
            <w:vMerge w:val="restart"/>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尚未审结</w:t>
            </w:r>
          </w:p>
        </w:tc>
        <w:tc>
          <w:tcPr>
            <w:tcW w:w="658" w:type="dxa"/>
            <w:vMerge w:val="restart"/>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总计</w:t>
            </w:r>
          </w:p>
        </w:tc>
        <w:tc>
          <w:tcPr>
            <w:tcW w:w="2970" w:type="dxa"/>
            <w:gridSpan w:val="5"/>
            <w:shd w:val="clear" w:color="auto" w:fill="FFFFFF" w:themeFill="background1"/>
            <w:noWrap/>
            <w:tcMar>
              <w:left w:w="108" w:type="dxa"/>
              <w:right w:w="108" w:type="dxa"/>
            </w:tcMar>
            <w:vAlign w:val="center"/>
          </w:tcPr>
          <w:p>
            <w:pPr>
              <w:widowControl/>
              <w:spacing w:line="300" w:lineRule="exact"/>
              <w:jc w:val="center"/>
              <w:rPr>
                <w:rFonts w:ascii="宋体" w:hAnsi="宋体" w:cs="楷体"/>
                <w:color w:val="000000"/>
                <w:kern w:val="0"/>
                <w:sz w:val="20"/>
                <w:szCs w:val="20"/>
              </w:rPr>
            </w:pPr>
            <w:r>
              <w:rPr>
                <w:rFonts w:hint="eastAsia" w:ascii="宋体" w:hAnsi="宋体" w:cs="楷体"/>
                <w:color w:val="000000"/>
                <w:kern w:val="0"/>
                <w:sz w:val="20"/>
                <w:szCs w:val="20"/>
              </w:rPr>
              <w:t>未经复议直接起诉</w:t>
            </w:r>
          </w:p>
        </w:tc>
        <w:tc>
          <w:tcPr>
            <w:tcW w:w="3027" w:type="dxa"/>
            <w:gridSpan w:val="5"/>
            <w:shd w:val="clear" w:color="auto" w:fill="FFFFFF" w:themeFill="background1"/>
            <w:noWrap/>
            <w:tcMar>
              <w:left w:w="108" w:type="dxa"/>
              <w:right w:w="108" w:type="dxa"/>
            </w:tcMar>
            <w:vAlign w:val="center"/>
          </w:tcPr>
          <w:p>
            <w:pPr>
              <w:widowControl/>
              <w:spacing w:line="300" w:lineRule="exact"/>
              <w:jc w:val="center"/>
              <w:rPr>
                <w:rFonts w:ascii="宋体" w:hAnsi="宋体" w:cs="楷体"/>
                <w:color w:val="000000"/>
                <w:kern w:val="0"/>
                <w:sz w:val="20"/>
                <w:szCs w:val="20"/>
              </w:rPr>
            </w:pPr>
            <w:r>
              <w:rPr>
                <w:rFonts w:hint="eastAsia" w:ascii="宋体" w:hAnsi="宋体" w:cs="楷体"/>
                <w:color w:val="000000"/>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604" w:type="dxa"/>
            <w:vMerge w:val="continue"/>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p>
        </w:tc>
        <w:tc>
          <w:tcPr>
            <w:tcW w:w="604" w:type="dxa"/>
            <w:vMerge w:val="continue"/>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p>
        </w:tc>
        <w:tc>
          <w:tcPr>
            <w:tcW w:w="604" w:type="dxa"/>
            <w:vMerge w:val="continue"/>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p>
        </w:tc>
        <w:tc>
          <w:tcPr>
            <w:tcW w:w="604" w:type="dxa"/>
            <w:vMerge w:val="continue"/>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p>
        </w:tc>
        <w:tc>
          <w:tcPr>
            <w:tcW w:w="658" w:type="dxa"/>
            <w:vMerge w:val="continue"/>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p>
        </w:tc>
        <w:tc>
          <w:tcPr>
            <w:tcW w:w="550"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结果维持</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结果纠正</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其他结果</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尚未审结</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总计</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结果维持</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结果纠正</w:t>
            </w:r>
          </w:p>
        </w:tc>
        <w:tc>
          <w:tcPr>
            <w:tcW w:w="605"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其他结果</w:t>
            </w:r>
          </w:p>
        </w:tc>
        <w:tc>
          <w:tcPr>
            <w:tcW w:w="606"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尚未审结</w:t>
            </w:r>
          </w:p>
        </w:tc>
        <w:tc>
          <w:tcPr>
            <w:tcW w:w="606" w:type="dxa"/>
            <w:shd w:val="clear" w:color="auto" w:fill="FFFFFF" w:themeFill="background1"/>
            <w:noWrap/>
            <w:tcMar>
              <w:left w:w="108" w:type="dxa"/>
              <w:right w:w="108" w:type="dxa"/>
            </w:tcMar>
            <w:vAlign w:val="center"/>
          </w:tcPr>
          <w:p>
            <w:pPr>
              <w:widowControl/>
              <w:spacing w:line="300" w:lineRule="exact"/>
              <w:jc w:val="left"/>
              <w:rPr>
                <w:rFonts w:ascii="宋体" w:hAnsi="宋体" w:cs="楷体"/>
                <w:color w:val="000000"/>
                <w:kern w:val="0"/>
                <w:sz w:val="20"/>
                <w:szCs w:val="20"/>
              </w:rPr>
            </w:pPr>
            <w:r>
              <w:rPr>
                <w:rFonts w:hint="eastAsia" w:ascii="宋体" w:hAnsi="宋体" w:cs="楷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88" w:hRule="atLeast"/>
          <w:jc w:val="center"/>
        </w:trPr>
        <w:tc>
          <w:tcPr>
            <w:tcW w:w="604"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w:t>
            </w:r>
          </w:p>
        </w:tc>
        <w:tc>
          <w:tcPr>
            <w:tcW w:w="604"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4"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4"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58"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w:t>
            </w:r>
          </w:p>
        </w:tc>
        <w:tc>
          <w:tcPr>
            <w:tcW w:w="550"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5"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6"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20"/>
                <w:szCs w:val="20"/>
              </w:rPr>
              <w:t>0 </w:t>
            </w:r>
          </w:p>
        </w:tc>
        <w:tc>
          <w:tcPr>
            <w:tcW w:w="606" w:type="dxa"/>
            <w:shd w:val="clear" w:color="auto" w:fill="FFFFFF" w:themeFill="background1"/>
            <w:noWrap/>
            <w:tcMar>
              <w:left w:w="108" w:type="dxa"/>
              <w:right w:w="108" w:type="dxa"/>
            </w:tcMar>
            <w:vAlign w:val="center"/>
          </w:tcPr>
          <w:p>
            <w:pPr>
              <w:widowControl/>
              <w:spacing w:line="300" w:lineRule="exact"/>
              <w:jc w:val="center"/>
              <w:rPr>
                <w:rFonts w:ascii="宋体" w:hAnsi="宋体" w:cs="楷体_GB2312"/>
                <w:color w:val="000000"/>
                <w:sz w:val="33"/>
                <w:szCs w:val="33"/>
              </w:rPr>
            </w:pPr>
            <w:r>
              <w:rPr>
                <w:rFonts w:hint="eastAsia" w:ascii="宋体" w:hAnsi="宋体" w:cs="楷体_GB2312"/>
                <w:color w:val="000000"/>
                <w:kern w:val="0"/>
                <w:sz w:val="33"/>
                <w:szCs w:val="33"/>
              </w:rPr>
              <w:t>0 </w:t>
            </w:r>
          </w:p>
        </w:tc>
      </w:tr>
    </w:tbl>
    <w:p>
      <w:pPr>
        <w:pStyle w:val="4"/>
        <w:widowControl/>
        <w:numPr>
          <w:ilvl w:val="0"/>
          <w:numId w:val="3"/>
        </w:numPr>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存在的主要问题及改进情况</w:t>
      </w:r>
    </w:p>
    <w:p>
      <w:pPr>
        <w:widowControl/>
        <w:shd w:val="clear" w:color="auto" w:fill="FFFFFF"/>
        <w:spacing w:line="560" w:lineRule="atLeast"/>
        <w:ind w:firstLine="640"/>
        <w:rPr>
          <w:rFonts w:ascii="楷体" w:hAnsi="楷体" w:eastAsia="楷体" w:cs="楷体"/>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（一）主要问题</w:t>
      </w:r>
    </w:p>
    <w:p>
      <w:pPr>
        <w:widowControl/>
        <w:shd w:val="clear" w:color="auto" w:fill="FFFFFF"/>
        <w:spacing w:line="560" w:lineRule="atLeast"/>
        <w:ind w:firstLine="64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2020年，松江区退役军人事务局政府信息公开工作取得了一定成效，但在信息公开工作仍然存在一些问题。</w:t>
      </w:r>
      <w:r>
        <w:rPr>
          <w:rFonts w:hint="eastAsia" w:ascii="仿宋" w:hAnsi="仿宋" w:eastAsia="仿宋" w:cs="仿宋"/>
          <w:b/>
          <w:bCs/>
          <w:color w:val="333333"/>
          <w:kern w:val="0"/>
          <w:sz w:val="32"/>
          <w:szCs w:val="32"/>
          <w:shd w:val="clear" w:color="auto" w:fill="FFFFFF"/>
        </w:rPr>
        <w:t>一是</w:t>
      </w:r>
      <w:r>
        <w:rPr>
          <w:rFonts w:hint="eastAsia" w:ascii="仿宋" w:hAnsi="仿宋" w:eastAsia="仿宋" w:cs="仿宋"/>
          <w:color w:val="000000"/>
          <w:sz w:val="32"/>
          <w:szCs w:val="32"/>
          <w:shd w:val="clear" w:color="auto" w:fill="FFFFFF"/>
        </w:rPr>
        <w:t>需要优化政府信息公开长效机制，规范政府信息公开程序。</w:t>
      </w:r>
      <w:r>
        <w:rPr>
          <w:rFonts w:hint="eastAsia" w:ascii="仿宋" w:hAnsi="仿宋" w:eastAsia="仿宋" w:cs="仿宋"/>
          <w:b/>
          <w:bCs/>
          <w:color w:val="333333"/>
          <w:kern w:val="0"/>
          <w:sz w:val="32"/>
          <w:szCs w:val="32"/>
          <w:shd w:val="clear" w:color="auto" w:fill="FFFFFF"/>
        </w:rPr>
        <w:t>二是</w:t>
      </w:r>
      <w:r>
        <w:rPr>
          <w:rFonts w:hint="eastAsia" w:ascii="仿宋" w:hAnsi="仿宋" w:eastAsia="仿宋" w:cs="仿宋"/>
          <w:color w:val="000000"/>
          <w:sz w:val="32"/>
          <w:szCs w:val="32"/>
          <w:shd w:val="clear" w:color="auto" w:fill="FFFFFF"/>
        </w:rPr>
        <w:t>需要进一步加强平台建设，多渠道开展立体式、全方位、生动化政策解读。</w:t>
      </w:r>
      <w:r>
        <w:rPr>
          <w:rFonts w:ascii="仿宋" w:hAnsi="仿宋" w:eastAsia="仿宋" w:cs="仿宋"/>
          <w:b/>
          <w:color w:val="333333"/>
          <w:sz w:val="32"/>
          <w:szCs w:val="32"/>
          <w:shd w:val="clear" w:color="auto" w:fill="FFFFFF"/>
        </w:rPr>
        <w:t>三是</w:t>
      </w:r>
      <w:r>
        <w:rPr>
          <w:rFonts w:hint="eastAsia" w:ascii="仿宋" w:hAnsi="仿宋" w:eastAsia="仿宋" w:cs="仿宋"/>
          <w:color w:val="000000"/>
          <w:sz w:val="32"/>
          <w:szCs w:val="32"/>
          <w:shd w:val="clear" w:color="auto" w:fill="FFFFFF"/>
        </w:rPr>
        <w:t>需要加强依申请公开工作，提高受理答复水平。</w:t>
      </w:r>
    </w:p>
    <w:p>
      <w:pPr>
        <w:widowControl/>
        <w:numPr>
          <w:ilvl w:val="0"/>
          <w:numId w:val="4"/>
        </w:numPr>
        <w:shd w:val="clear" w:color="auto" w:fill="FFFFFF"/>
        <w:spacing w:line="560" w:lineRule="atLeast"/>
        <w:ind w:firstLine="640"/>
        <w:rPr>
          <w:rFonts w:ascii="楷体" w:hAnsi="楷体" w:eastAsia="楷体" w:cs="楷体"/>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改进措施</w:t>
      </w:r>
    </w:p>
    <w:p>
      <w:pPr>
        <w:widowControl/>
        <w:shd w:val="clear" w:color="auto" w:fill="FFFFFF"/>
        <w:spacing w:line="560"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333333"/>
          <w:kern w:val="0"/>
          <w:sz w:val="32"/>
          <w:szCs w:val="32"/>
          <w:shd w:val="clear" w:color="auto" w:fill="FFFFFF"/>
        </w:rPr>
        <w:t>1.</w:t>
      </w:r>
      <w:r>
        <w:rPr>
          <w:rFonts w:ascii="仿宋" w:hAnsi="仿宋" w:eastAsia="仿宋" w:cs="仿宋"/>
          <w:b/>
          <w:bCs/>
          <w:color w:val="333333"/>
          <w:sz w:val="32"/>
          <w:szCs w:val="32"/>
          <w:shd w:val="clear" w:color="auto" w:fill="FFFFFF"/>
        </w:rPr>
        <w:t>不断完善制度体系建设</w:t>
      </w:r>
      <w:r>
        <w:rPr>
          <w:rFonts w:hint="eastAsia" w:ascii="仿宋" w:hAnsi="仿宋" w:eastAsia="仿宋" w:cs="仿宋"/>
          <w:b/>
          <w:bCs/>
          <w:color w:val="333333"/>
          <w:sz w:val="32"/>
          <w:szCs w:val="32"/>
          <w:shd w:val="clear" w:color="auto" w:fill="FFFFFF"/>
        </w:rPr>
        <w:t>。</w:t>
      </w:r>
      <w:r>
        <w:rPr>
          <w:rFonts w:hint="eastAsia" w:ascii="仿宋" w:hAnsi="仿宋" w:eastAsia="仿宋" w:cs="仿宋"/>
          <w:color w:val="000000"/>
          <w:sz w:val="32"/>
          <w:szCs w:val="32"/>
          <w:shd w:val="clear" w:color="auto" w:fill="FFFFFF"/>
        </w:rPr>
        <w:t>进一步健全和完善政府信息公开制度，规范公开内容，提高公开质量。</w:t>
      </w:r>
    </w:p>
    <w:p>
      <w:pPr>
        <w:widowControl/>
        <w:shd w:val="clear" w:color="auto" w:fill="FFFFFF"/>
        <w:spacing w:line="560"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2.进一步拓宽公开渠道。</w:t>
      </w:r>
      <w:r>
        <w:rPr>
          <w:rFonts w:hint="eastAsia" w:ascii="仿宋" w:hAnsi="仿宋" w:eastAsia="仿宋" w:cs="仿宋"/>
          <w:color w:val="000000"/>
          <w:sz w:val="32"/>
          <w:szCs w:val="32"/>
          <w:shd w:val="clear" w:color="auto" w:fill="FFFFFF"/>
        </w:rPr>
        <w:t>办好微信公众号，借助多种现代信息传播渠道和形式，清晰、完整、细致地反映退役军人工作开展情况。</w:t>
      </w:r>
    </w:p>
    <w:p>
      <w:pPr>
        <w:widowControl/>
        <w:shd w:val="clear" w:color="auto" w:fill="FFFFFF"/>
        <w:spacing w:line="560"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3.有效提升依申请公开质量。</w:t>
      </w:r>
      <w:r>
        <w:rPr>
          <w:rFonts w:hint="eastAsia" w:ascii="仿宋" w:hAnsi="仿宋" w:eastAsia="仿宋" w:cs="仿宋"/>
          <w:color w:val="000000"/>
          <w:sz w:val="32"/>
          <w:szCs w:val="32"/>
          <w:shd w:val="clear" w:color="auto" w:fill="FFFFFF"/>
        </w:rPr>
        <w:t>进一步规范依申请公开办理工作，加强对复杂疑难申请的研究，注重提升依申请公开服务能力。</w:t>
      </w:r>
    </w:p>
    <w:p>
      <w:pPr>
        <w:pStyle w:val="4"/>
        <w:widowControl/>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六、其他需要报告的事项</w:t>
      </w:r>
    </w:p>
    <w:p>
      <w:pPr>
        <w:pStyle w:val="4"/>
        <w:widowControl/>
        <w:shd w:val="clear" w:color="auto" w:fill="FFFFFF"/>
        <w:spacing w:before="0" w:beforeAutospacing="0" w:after="0" w:afterAutospacing="0" w:line="640" w:lineRule="exact"/>
        <w:ind w:firstLine="640" w:firstLineChars="20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9EFC"/>
    <w:multiLevelType w:val="singleLevel"/>
    <w:tmpl w:val="C6079EFC"/>
    <w:lvl w:ilvl="0" w:tentative="0">
      <w:start w:val="3"/>
      <w:numFmt w:val="chineseCounting"/>
      <w:suff w:val="nothing"/>
      <w:lvlText w:val="（%1）"/>
      <w:lvlJc w:val="left"/>
      <w:rPr>
        <w:rFonts w:hint="eastAsia"/>
      </w:rPr>
    </w:lvl>
  </w:abstractNum>
  <w:abstractNum w:abstractNumId="1">
    <w:nsid w:val="DEA5E4AA"/>
    <w:multiLevelType w:val="singleLevel"/>
    <w:tmpl w:val="DEA5E4AA"/>
    <w:lvl w:ilvl="0" w:tentative="0">
      <w:start w:val="5"/>
      <w:numFmt w:val="chineseCounting"/>
      <w:suff w:val="nothing"/>
      <w:lvlText w:val="%1、"/>
      <w:lvlJc w:val="left"/>
      <w:rPr>
        <w:rFonts w:hint="eastAsia"/>
      </w:rPr>
    </w:lvl>
  </w:abstractNum>
  <w:abstractNum w:abstractNumId="2">
    <w:nsid w:val="0BEA4AAC"/>
    <w:multiLevelType w:val="singleLevel"/>
    <w:tmpl w:val="0BEA4AAC"/>
    <w:lvl w:ilvl="0" w:tentative="0">
      <w:start w:val="5"/>
      <w:numFmt w:val="chineseCounting"/>
      <w:suff w:val="nothing"/>
      <w:lvlText w:val="（%1）"/>
      <w:lvlJc w:val="left"/>
      <w:rPr>
        <w:rFonts w:hint="eastAsia"/>
      </w:rPr>
    </w:lvl>
  </w:abstractNum>
  <w:abstractNum w:abstractNumId="3">
    <w:nsid w:val="38FEA487"/>
    <w:multiLevelType w:val="singleLevel"/>
    <w:tmpl w:val="38FEA48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2D"/>
    <w:rsid w:val="00AE0E4E"/>
    <w:rsid w:val="00BD08FF"/>
    <w:rsid w:val="00C7642D"/>
    <w:rsid w:val="086167EA"/>
    <w:rsid w:val="191D718D"/>
    <w:rsid w:val="20E134BA"/>
    <w:rsid w:val="389F58EC"/>
    <w:rsid w:val="4FE303C3"/>
    <w:rsid w:val="58D122C7"/>
    <w:rsid w:val="5A9D6766"/>
    <w:rsid w:val="6FBD7302"/>
    <w:rsid w:val="7BCE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Hyperlink"/>
    <w:basedOn w:val="6"/>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450</Words>
  <Characters>2571</Characters>
  <Lines>21</Lines>
  <Paragraphs>6</Paragraphs>
  <TotalTime>3</TotalTime>
  <ScaleCrop>false</ScaleCrop>
  <LinksUpToDate>false</LinksUpToDate>
  <CharactersWithSpaces>3015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2021-01-22T06:39:00Z</dcterms:created>
  <dc:creator>chenhuajuan</dc:creator>
  <cp:lastModifiedBy>chenhuajuan</cp:lastModifiedBy>
  <dcterms:modified xsi:type="dcterms:W3CDTF">2021-01-22T08:23:08Z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